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9FDE" w14:textId="77777777" w:rsidR="00DE7DE6" w:rsidRDefault="00DE7DE6" w:rsidP="00DE7DE6">
      <w:pPr>
        <w:jc w:val="center"/>
        <w:rPr>
          <w:rFonts w:ascii="Verdana" w:hAnsi="Verdana"/>
          <w:b/>
          <w:color w:val="222A35" w:themeColor="text2" w:themeShade="80"/>
          <w:sz w:val="24"/>
          <w:szCs w:val="24"/>
        </w:rPr>
      </w:pPr>
    </w:p>
    <w:p w14:paraId="5C54E156" w14:textId="63056F68" w:rsidR="00DE7DE6" w:rsidRPr="00B73D1B" w:rsidRDefault="009C7330" w:rsidP="00DE7DE6">
      <w:pPr>
        <w:jc w:val="center"/>
        <w:rPr>
          <w:rFonts w:ascii="Open Sans" w:hAnsi="Open Sans" w:cs="Open Sans"/>
          <w:b/>
          <w:color w:val="222A35" w:themeColor="text2" w:themeShade="80"/>
          <w:sz w:val="24"/>
          <w:szCs w:val="24"/>
        </w:rPr>
      </w:pPr>
      <w:r>
        <w:rPr>
          <w:rFonts w:ascii="Open Sans" w:hAnsi="Open Sans" w:cs="Open Sans"/>
          <w:b/>
          <w:color w:val="222A35" w:themeColor="text2" w:themeShade="80"/>
          <w:sz w:val="24"/>
          <w:szCs w:val="24"/>
        </w:rPr>
        <w:t>PASANTE</w:t>
      </w:r>
      <w:r w:rsidR="00DE7DE6" w:rsidRPr="00B73D1B">
        <w:rPr>
          <w:rFonts w:ascii="Open Sans" w:hAnsi="Open Sans" w:cs="Open Sans"/>
          <w:b/>
          <w:color w:val="222A35" w:themeColor="text2" w:themeShade="80"/>
          <w:sz w:val="24"/>
          <w:szCs w:val="24"/>
        </w:rPr>
        <w:t xml:space="preserve"> DE RECURSOS HUMANOS</w:t>
      </w:r>
    </w:p>
    <w:p w14:paraId="3F558A57" w14:textId="77777777" w:rsidR="00DE7DE6" w:rsidRPr="00935D8A" w:rsidRDefault="00DE7DE6" w:rsidP="00DE7D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 xml:space="preserve">Misión de la </w:t>
      </w: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 xml:space="preserve">Posición: </w:t>
      </w:r>
    </w:p>
    <w:p w14:paraId="4FA90D3D" w14:textId="11747220" w:rsidR="00DE7DE6" w:rsidRPr="00935D8A" w:rsidRDefault="009C7330" w:rsidP="00DE7DE6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Gestionar diferentes actividades en diversos</w:t>
      </w:r>
      <w:r w:rsidR="00DE7DE6"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procesos de Recursos Humanos en concordancia con la misión, visión y cultura de la compañía.</w:t>
      </w:r>
      <w:r w:rsidR="00DE7DE6"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ab/>
      </w:r>
    </w:p>
    <w:p w14:paraId="236DAAA3" w14:textId="77777777" w:rsidR="00DE7DE6" w:rsidRPr="00935D8A" w:rsidRDefault="00DE7DE6" w:rsidP="00DE7D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 xml:space="preserve">Objetivos de la Posición: </w:t>
      </w:r>
    </w:p>
    <w:p w14:paraId="391D5380" w14:textId="2CE6EE93" w:rsidR="00666E40" w:rsidRDefault="00666E40" w:rsidP="00DE7DE6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Dar soporte efectivo a los miembros del equipo de RRHH.</w:t>
      </w:r>
    </w:p>
    <w:p w14:paraId="3880CC62" w14:textId="25176BFD" w:rsidR="00666E40" w:rsidRDefault="00666E40" w:rsidP="00666E40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No generar </w:t>
      </w:r>
      <w:r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>reclamos de insatisfacción del cliente Interno</w:t>
      </w:r>
      <w:r>
        <w:rPr>
          <w:rFonts w:ascii="Open Sans" w:hAnsi="Open Sans" w:cs="Open Sans"/>
          <w:color w:val="222A35" w:themeColor="text2" w:themeShade="80"/>
          <w:sz w:val="20"/>
          <w:szCs w:val="20"/>
        </w:rPr>
        <w:t>.</w:t>
      </w:r>
    </w:p>
    <w:p w14:paraId="5F45FDBD" w14:textId="45C01C19" w:rsidR="00666E40" w:rsidRDefault="00666E40" w:rsidP="00666E40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Lograr una visión generalista del área de RRHH.</w:t>
      </w:r>
    </w:p>
    <w:p w14:paraId="7602BF60" w14:textId="2844BE39" w:rsidR="00666E40" w:rsidRDefault="00666E40" w:rsidP="00666E40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Ser ejemplo de los valores de la compañía.</w:t>
      </w:r>
    </w:p>
    <w:p w14:paraId="70426419" w14:textId="00A3CACE" w:rsidR="00666E40" w:rsidRPr="00666E40" w:rsidRDefault="00666E40" w:rsidP="00666E40">
      <w:pPr>
        <w:pStyle w:val="Prrafodelista"/>
        <w:numPr>
          <w:ilvl w:val="1"/>
          <w:numId w:val="2"/>
        </w:numPr>
        <w:spacing w:after="0" w:line="240" w:lineRule="auto"/>
        <w:ind w:right="-18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Lograr un salto profesional a través del desarrollo de la pasantía.</w:t>
      </w:r>
    </w:p>
    <w:p w14:paraId="74694097" w14:textId="77777777" w:rsidR="00DE7DE6" w:rsidRPr="00B73D1B" w:rsidRDefault="00DE7DE6" w:rsidP="00DE7DE6">
      <w:pPr>
        <w:pStyle w:val="Prrafodelista"/>
        <w:numPr>
          <w:ilvl w:val="0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Reporta a:</w:t>
      </w:r>
    </w:p>
    <w:p w14:paraId="04DFCD81" w14:textId="77777777" w:rsidR="00DE7DE6" w:rsidRPr="00B73D1B" w:rsidRDefault="001C36FF" w:rsidP="00DE7DE6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Gerente de</w:t>
      </w:r>
      <w:r w:rsidR="00DE7DE6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Recursos Humanos</w:t>
      </w:r>
    </w:p>
    <w:p w14:paraId="18DB9007" w14:textId="77777777" w:rsidR="00DE7DE6" w:rsidRPr="00B73D1B" w:rsidRDefault="00DE7DE6" w:rsidP="00DE7DE6">
      <w:pPr>
        <w:pStyle w:val="Prrafodelista"/>
        <w:numPr>
          <w:ilvl w:val="0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Competencias Personales:</w:t>
      </w:r>
    </w:p>
    <w:p w14:paraId="3A311EEE" w14:textId="2404C74E" w:rsidR="00DE7DE6" w:rsidRPr="00B73D1B" w:rsidRDefault="00DE7DE6" w:rsidP="00DE7DE6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527BA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Profesionalismo y confidencialidad; Capacidad de planificación; Organizado; Autogestión; Comunicación; Capacidad Analítica; Trabajo en equipo; </w:t>
      </w:r>
      <w:r w:rsidR="00DF549B" w:rsidRPr="00527BAB">
        <w:rPr>
          <w:rFonts w:ascii="Open Sans" w:hAnsi="Open Sans" w:cs="Open Sans"/>
          <w:color w:val="222A35" w:themeColor="text2" w:themeShade="80"/>
          <w:sz w:val="20"/>
          <w:szCs w:val="20"/>
        </w:rPr>
        <w:t>Proactividad</w:t>
      </w:r>
      <w:r w:rsidR="00567921" w:rsidRPr="00527BAB">
        <w:rPr>
          <w:rFonts w:ascii="Open Sans" w:hAnsi="Open Sans" w:cs="Open Sans"/>
          <w:color w:val="222A35" w:themeColor="text2" w:themeShade="80"/>
          <w:sz w:val="20"/>
          <w:szCs w:val="20"/>
        </w:rPr>
        <w:t>; Resolución de Problemas.</w:t>
      </w:r>
    </w:p>
    <w:p w14:paraId="097C67C2" w14:textId="77777777" w:rsidR="00DE7DE6" w:rsidRPr="00B73D1B" w:rsidRDefault="00DE7DE6" w:rsidP="00DE7DE6">
      <w:pPr>
        <w:pStyle w:val="Prrafodelista"/>
        <w:numPr>
          <w:ilvl w:val="0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Habilidades Técnicas:</w:t>
      </w:r>
    </w:p>
    <w:p w14:paraId="0D885CEC" w14:textId="11CCC73F" w:rsidR="00075C98" w:rsidRPr="00CD00C0" w:rsidRDefault="00075C98" w:rsidP="00075C98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bookmarkStart w:id="0" w:name="_Hlk51141135"/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Paquete Office</w:t>
      </w:r>
      <w:r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(Nivel Intermedio</w:t>
      </w:r>
      <w:bookmarkStart w:id="1" w:name="_GoBack"/>
      <w:bookmarkEnd w:id="1"/>
      <w:r>
        <w:rPr>
          <w:rFonts w:ascii="Open Sans" w:hAnsi="Open Sans" w:cs="Open Sans"/>
          <w:color w:val="222A35" w:themeColor="text2" w:themeShade="80"/>
          <w:sz w:val="20"/>
          <w:szCs w:val="20"/>
        </w:rPr>
        <w:t>)</w:t>
      </w:r>
    </w:p>
    <w:p w14:paraId="43618B86" w14:textId="77777777" w:rsidR="00075C98" w:rsidRPr="00CD00C0" w:rsidRDefault="00075C98" w:rsidP="00075C98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Herramientas </w:t>
      </w:r>
      <w:proofErr w:type="spellStart"/>
      <w:r>
        <w:rPr>
          <w:rFonts w:ascii="Open Sans" w:hAnsi="Open Sans" w:cs="Open Sans"/>
          <w:color w:val="222A35" w:themeColor="text2" w:themeShade="80"/>
          <w:sz w:val="20"/>
          <w:szCs w:val="20"/>
        </w:rPr>
        <w:t>GSuite</w:t>
      </w:r>
      <w:proofErr w:type="spellEnd"/>
      <w:r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(Nivel Intermedio)</w:t>
      </w:r>
    </w:p>
    <w:p w14:paraId="10325997" w14:textId="3A59AAD8" w:rsidR="00075C98" w:rsidRPr="00075C98" w:rsidRDefault="00075C98" w:rsidP="00075C98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proofErr w:type="spellStart"/>
      <w:r w:rsidRPr="00075C98">
        <w:rPr>
          <w:rFonts w:ascii="Open Sans" w:hAnsi="Open Sans" w:cs="Open Sans"/>
          <w:color w:val="222A35" w:themeColor="text2" w:themeShade="80"/>
          <w:sz w:val="20"/>
          <w:szCs w:val="20"/>
        </w:rPr>
        <w:t>Linked</w:t>
      </w:r>
      <w:proofErr w:type="spellEnd"/>
      <w:r w:rsidRPr="00075C98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In </w:t>
      </w:r>
      <w:proofErr w:type="spellStart"/>
      <w:r w:rsidRPr="00075C98">
        <w:rPr>
          <w:rFonts w:ascii="Open Sans" w:hAnsi="Open Sans" w:cs="Open Sans"/>
          <w:color w:val="222A35" w:themeColor="text2" w:themeShade="80"/>
          <w:sz w:val="20"/>
          <w:szCs w:val="20"/>
        </w:rPr>
        <w:t>Recruitment</w:t>
      </w:r>
      <w:bookmarkEnd w:id="0"/>
      <w:proofErr w:type="spellEnd"/>
      <w:r w:rsidRPr="00075C98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(Nivel Intermedio) </w:t>
      </w:r>
      <w:r>
        <w:rPr>
          <w:rFonts w:ascii="Open Sans" w:hAnsi="Open Sans" w:cs="Open Sans"/>
          <w:color w:val="222A35" w:themeColor="text2" w:themeShade="80"/>
          <w:sz w:val="20"/>
          <w:szCs w:val="20"/>
        </w:rPr>
        <w:t>–</w:t>
      </w:r>
      <w:r w:rsidRPr="00075C98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No</w:t>
      </w:r>
      <w:r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excluyente.</w:t>
      </w:r>
    </w:p>
    <w:p w14:paraId="4AA7F8E1" w14:textId="77777777" w:rsidR="00BE1440" w:rsidRPr="00A95990" w:rsidRDefault="00BE1440" w:rsidP="00BE1440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Plataforma Asana (Nivel Intermedio) – No excluyente.</w:t>
      </w:r>
    </w:p>
    <w:p w14:paraId="0D90EACE" w14:textId="026E9486" w:rsidR="00075C98" w:rsidRPr="00C20D39" w:rsidRDefault="00075C98" w:rsidP="00075C98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>
        <w:rPr>
          <w:rFonts w:ascii="Open Sans" w:hAnsi="Open Sans" w:cs="Open Sans"/>
          <w:color w:val="222A35" w:themeColor="text2" w:themeShade="80"/>
          <w:sz w:val="20"/>
          <w:szCs w:val="20"/>
        </w:rPr>
        <w:t>Experiencia previa en RRHH (3 años) – No excluyente.</w:t>
      </w:r>
    </w:p>
    <w:p w14:paraId="4E17CC0C" w14:textId="45DA38F3" w:rsidR="00DE7DE6" w:rsidRPr="00B73D1B" w:rsidRDefault="00DE7DE6" w:rsidP="00257731">
      <w:pPr>
        <w:pStyle w:val="Prrafodelista"/>
        <w:numPr>
          <w:ilvl w:val="0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 xml:space="preserve">Educación / Formación Requerida: </w:t>
      </w:r>
    </w:p>
    <w:p w14:paraId="01FBD037" w14:textId="346BEC1C" w:rsidR="00DE7DE6" w:rsidRPr="00B73D1B" w:rsidRDefault="00DE7DE6" w:rsidP="00DE7DE6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Formación Universitaria</w:t>
      </w:r>
      <w:r w:rsidR="001C36FF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: 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Licenciado en </w:t>
      </w:r>
      <w:r w:rsidR="001C36FF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R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ecursos </w:t>
      </w:r>
      <w:r w:rsidR="001C36FF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H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umanos / </w:t>
      </w:r>
      <w:proofErr w:type="spellStart"/>
      <w:r w:rsidR="001C36FF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A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dm</w:t>
      </w:r>
      <w:proofErr w:type="spellEnd"/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de </w:t>
      </w:r>
      <w:r w:rsidR="001C36FF"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E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>mpresas</w:t>
      </w:r>
      <w:r w:rsidR="00567921">
        <w:rPr>
          <w:rFonts w:ascii="Open Sans" w:hAnsi="Open Sans" w:cs="Open Sans"/>
          <w:color w:val="222A35" w:themeColor="text2" w:themeShade="80"/>
          <w:sz w:val="20"/>
          <w:szCs w:val="20"/>
        </w:rPr>
        <w:t>.</w:t>
      </w:r>
    </w:p>
    <w:p w14:paraId="346F7804" w14:textId="23EC5F46" w:rsidR="00DE7DE6" w:rsidRPr="00B73D1B" w:rsidRDefault="00DE7DE6" w:rsidP="00DE7DE6">
      <w:pPr>
        <w:pStyle w:val="Prrafodelista"/>
        <w:numPr>
          <w:ilvl w:val="1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Nivel </w:t>
      </w:r>
      <w:r w:rsidR="00730A1F">
        <w:rPr>
          <w:rFonts w:ascii="Open Sans" w:hAnsi="Open Sans" w:cs="Open Sans"/>
          <w:color w:val="222A35" w:themeColor="text2" w:themeShade="80"/>
          <w:sz w:val="20"/>
          <w:szCs w:val="20"/>
        </w:rPr>
        <w:t>Intermedio</w:t>
      </w:r>
      <w:r w:rsidRPr="00B73D1B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Inglés</w:t>
      </w:r>
      <w:r w:rsidR="00567921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(</w:t>
      </w:r>
      <w:r w:rsidR="00730A1F">
        <w:rPr>
          <w:rFonts w:ascii="Open Sans" w:hAnsi="Open Sans" w:cs="Open Sans"/>
          <w:color w:val="222A35" w:themeColor="text2" w:themeShade="80"/>
          <w:sz w:val="20"/>
          <w:szCs w:val="20"/>
        </w:rPr>
        <w:t>No excluyente</w:t>
      </w:r>
      <w:r w:rsidR="00567921">
        <w:rPr>
          <w:rFonts w:ascii="Open Sans" w:hAnsi="Open Sans" w:cs="Open Sans"/>
          <w:color w:val="222A35" w:themeColor="text2" w:themeShade="80"/>
          <w:sz w:val="20"/>
          <w:szCs w:val="20"/>
        </w:rPr>
        <w:t>).</w:t>
      </w:r>
    </w:p>
    <w:p w14:paraId="335C0779" w14:textId="77777777" w:rsidR="00DE7DE6" w:rsidRPr="00B73D1B" w:rsidRDefault="00DE7DE6" w:rsidP="00DE7DE6">
      <w:pPr>
        <w:pStyle w:val="Prrafodelista"/>
        <w:numPr>
          <w:ilvl w:val="0"/>
          <w:numId w:val="1"/>
        </w:numPr>
        <w:rPr>
          <w:rFonts w:ascii="Open Sans" w:hAnsi="Open Sans" w:cs="Open Sans"/>
          <w:b/>
          <w:color w:val="222A35" w:themeColor="text2" w:themeShade="80"/>
          <w:sz w:val="20"/>
          <w:szCs w:val="20"/>
        </w:rPr>
      </w:pPr>
      <w:r w:rsidRPr="00B73D1B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Responsabilidades:</w:t>
      </w:r>
    </w:p>
    <w:p w14:paraId="484503A6" w14:textId="502A2125" w:rsidR="004F0D46" w:rsidRDefault="004F0D46" w:rsidP="009C73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Actividades de Analista de Administración RRHH:</w:t>
      </w:r>
    </w:p>
    <w:p w14:paraId="7AB3F216" w14:textId="1BB34AB0" w:rsidR="004F0D46" w:rsidRDefault="004F0D46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Gestión de las vacaciones en el archivo base.</w:t>
      </w:r>
    </w:p>
    <w:p w14:paraId="5BA03FDE" w14:textId="5EC20233" w:rsidR="004F0D46" w:rsidRDefault="004F0D46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Seguimiento humano del personal con licencia y </w:t>
      </w:r>
      <w:r w:rsidR="00512C2C">
        <w:rPr>
          <w:rFonts w:ascii="Open Sans" w:eastAsia="Open Sans" w:hAnsi="Open Sans" w:cs="Open Sans"/>
          <w:color w:val="222A35"/>
          <w:sz w:val="20"/>
          <w:szCs w:val="20"/>
        </w:rPr>
        <w:t>carga de la información en el archivo base.</w:t>
      </w:r>
    </w:p>
    <w:p w14:paraId="5801C2B4" w14:textId="77777777" w:rsidR="004F0D46" w:rsidRDefault="004F0D46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Carga de datos de ingreso en datos de contacto y modificaciones.</w:t>
      </w:r>
    </w:p>
    <w:p w14:paraId="0C3EACEE" w14:textId="77777777" w:rsidR="004F0D46" w:rsidRDefault="004F0D46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Confección de las políticas de uso de tarjeta y auto.</w:t>
      </w:r>
    </w:p>
    <w:p w14:paraId="19E7FA5F" w14:textId="7C749D42" w:rsidR="004F0D46" w:rsidRPr="003713C2" w:rsidRDefault="004F0D46" w:rsidP="003713C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 w:rsidRPr="004F0D46">
        <w:rPr>
          <w:rFonts w:ascii="Open Sans" w:eastAsia="Open Sans" w:hAnsi="Open Sans" w:cs="Open Sans"/>
          <w:color w:val="222A35"/>
          <w:sz w:val="20"/>
          <w:szCs w:val="20"/>
        </w:rPr>
        <w:t xml:space="preserve">Solicitar </w:t>
      </w:r>
      <w:r>
        <w:rPr>
          <w:rFonts w:ascii="Open Sans" w:eastAsia="Open Sans" w:hAnsi="Open Sans" w:cs="Open Sans"/>
          <w:color w:val="222A35"/>
          <w:sz w:val="20"/>
          <w:szCs w:val="20"/>
        </w:rPr>
        <w:t>s</w:t>
      </w:r>
      <w:r w:rsidRPr="004F0D46">
        <w:rPr>
          <w:rFonts w:ascii="Open Sans" w:eastAsia="Open Sans" w:hAnsi="Open Sans" w:cs="Open Sans"/>
          <w:color w:val="222A35"/>
          <w:sz w:val="20"/>
          <w:szCs w:val="20"/>
        </w:rPr>
        <w:t xml:space="preserve">eguros de </w:t>
      </w:r>
      <w:r>
        <w:rPr>
          <w:rFonts w:ascii="Open Sans" w:eastAsia="Open Sans" w:hAnsi="Open Sans" w:cs="Open Sans"/>
          <w:color w:val="222A35"/>
          <w:sz w:val="20"/>
          <w:szCs w:val="20"/>
        </w:rPr>
        <w:t>a</w:t>
      </w:r>
      <w:r w:rsidRPr="004F0D46">
        <w:rPr>
          <w:rFonts w:ascii="Open Sans" w:eastAsia="Open Sans" w:hAnsi="Open Sans" w:cs="Open Sans"/>
          <w:color w:val="222A35"/>
          <w:sz w:val="20"/>
          <w:szCs w:val="20"/>
        </w:rPr>
        <w:t xml:space="preserve">ccidentes </w:t>
      </w:r>
      <w:r>
        <w:rPr>
          <w:rFonts w:ascii="Open Sans" w:eastAsia="Open Sans" w:hAnsi="Open Sans" w:cs="Open Sans"/>
          <w:color w:val="222A35"/>
          <w:sz w:val="20"/>
          <w:szCs w:val="20"/>
        </w:rPr>
        <w:t>p</w:t>
      </w:r>
      <w:r w:rsidRPr="004F0D46">
        <w:rPr>
          <w:rFonts w:ascii="Open Sans" w:eastAsia="Open Sans" w:hAnsi="Open Sans" w:cs="Open Sans"/>
          <w:color w:val="222A35"/>
          <w:sz w:val="20"/>
          <w:szCs w:val="20"/>
        </w:rPr>
        <w:t xml:space="preserve">ersonales / </w:t>
      </w:r>
      <w:r>
        <w:rPr>
          <w:rFonts w:ascii="Open Sans" w:eastAsia="Open Sans" w:hAnsi="Open Sans" w:cs="Open Sans"/>
          <w:color w:val="222A35"/>
          <w:sz w:val="20"/>
          <w:szCs w:val="20"/>
        </w:rPr>
        <w:t>c</w:t>
      </w:r>
      <w:r w:rsidRPr="004F0D46">
        <w:rPr>
          <w:rFonts w:ascii="Open Sans" w:eastAsia="Open Sans" w:hAnsi="Open Sans" w:cs="Open Sans"/>
          <w:color w:val="222A35"/>
          <w:sz w:val="20"/>
          <w:szCs w:val="20"/>
        </w:rPr>
        <w:t>onstancias de ART para el personal.</w:t>
      </w:r>
    </w:p>
    <w:p w14:paraId="45F9785F" w14:textId="2A3B39FA" w:rsidR="004F0D46" w:rsidRDefault="004F0D46" w:rsidP="009C73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Actividades de Analista de RRHH:</w:t>
      </w:r>
    </w:p>
    <w:p w14:paraId="0AB64E67" w14:textId="75367A29" w:rsidR="00AC5C61" w:rsidRDefault="00AC5C61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Dar soporte en la gestión de cambios en la agenda global de la compañía.</w:t>
      </w:r>
    </w:p>
    <w:p w14:paraId="1D058C73" w14:textId="1FB1FFFD" w:rsidR="00AC5C61" w:rsidRDefault="00AC5C61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Realizar compra de consumibles que se necesiten desde el área.</w:t>
      </w:r>
    </w:p>
    <w:p w14:paraId="6686565A" w14:textId="2FCB1586" w:rsidR="00AC5C61" w:rsidRDefault="00AC5C61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Gestionar cotizaciones nuevas para el área.</w:t>
      </w:r>
    </w:p>
    <w:p w14:paraId="46EBBFCD" w14:textId="15A6F5A9" w:rsidR="004F0D46" w:rsidRDefault="00AC5C61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Dar soporte en entrenamientos o actividades laborales que puedan llegar a necesitar gestionar vuelos y hoteles de viajes de colaboradores de la compañía.</w:t>
      </w:r>
    </w:p>
    <w:p w14:paraId="2AFC4622" w14:textId="77777777" w:rsidR="004F0D46" w:rsidRDefault="004F0D46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Dar soporte en ciertos requerimientos que puedan surgir del directorio.</w:t>
      </w:r>
    </w:p>
    <w:p w14:paraId="30248203" w14:textId="284D2EAA" w:rsidR="004F0D46" w:rsidRDefault="004F0D46" w:rsidP="004F0D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Actividades de Coordinador de RRHH:</w:t>
      </w:r>
    </w:p>
    <w:p w14:paraId="65E4E89A" w14:textId="5CC4E705" w:rsidR="009C7330" w:rsidRDefault="00AC5C61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 w:rsidRPr="004F0D46">
        <w:rPr>
          <w:rFonts w:ascii="Open Sans" w:eastAsia="Open Sans" w:hAnsi="Open Sans" w:cs="Open Sans"/>
          <w:color w:val="222A35"/>
          <w:sz w:val="20"/>
          <w:szCs w:val="20"/>
        </w:rPr>
        <w:t xml:space="preserve">Gestionar </w:t>
      </w:r>
      <w:r w:rsidR="009C7330" w:rsidRPr="004F0D46">
        <w:rPr>
          <w:rFonts w:ascii="Open Sans" w:eastAsia="Open Sans" w:hAnsi="Open Sans" w:cs="Open Sans"/>
          <w:color w:val="222A35"/>
          <w:sz w:val="20"/>
          <w:szCs w:val="20"/>
        </w:rPr>
        <w:t>los estudios médicos y psicotécnicos de los perfiles</w:t>
      </w:r>
      <w:r w:rsidR="00DB6CDB">
        <w:rPr>
          <w:rFonts w:ascii="Open Sans" w:eastAsia="Open Sans" w:hAnsi="Open Sans" w:cs="Open Sans"/>
          <w:color w:val="222A35"/>
          <w:sz w:val="20"/>
          <w:szCs w:val="20"/>
        </w:rPr>
        <w:t>.</w:t>
      </w:r>
    </w:p>
    <w:p w14:paraId="6ED9F368" w14:textId="11E6A642" w:rsidR="00DB6CDB" w:rsidRDefault="00DB6CDB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Análisis inicial de </w:t>
      </w:r>
      <w:proofErr w:type="spellStart"/>
      <w:r>
        <w:rPr>
          <w:rFonts w:ascii="Open Sans" w:eastAsia="Open Sans" w:hAnsi="Open Sans" w:cs="Open Sans"/>
          <w:color w:val="222A35"/>
          <w:sz w:val="20"/>
          <w:szCs w:val="20"/>
        </w:rPr>
        <w:t>CVs</w:t>
      </w:r>
      <w:proofErr w:type="spellEnd"/>
      <w:r>
        <w:rPr>
          <w:rFonts w:ascii="Open Sans" w:eastAsia="Open Sans" w:hAnsi="Open Sans" w:cs="Open Sans"/>
          <w:color w:val="222A35"/>
          <w:sz w:val="20"/>
          <w:szCs w:val="20"/>
        </w:rPr>
        <w:t xml:space="preserve"> solicitados.</w:t>
      </w:r>
    </w:p>
    <w:p w14:paraId="5884F244" w14:textId="4AFFC4FB" w:rsidR="00DB6CDB" w:rsidRPr="004F0D46" w:rsidRDefault="00DB6CDB" w:rsidP="004F0D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Agenda de entrevistas solicitadas.</w:t>
      </w:r>
    </w:p>
    <w:p w14:paraId="301554FE" w14:textId="0E280C28" w:rsidR="00AC5C61" w:rsidRDefault="009C7330" w:rsidP="009C73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Participar en </w:t>
      </w:r>
      <w:r w:rsidR="00AC5C61">
        <w:rPr>
          <w:rFonts w:ascii="Open Sans" w:eastAsia="Open Sans" w:hAnsi="Open Sans" w:cs="Open Sans"/>
          <w:color w:val="222A35"/>
          <w:sz w:val="20"/>
          <w:szCs w:val="20"/>
        </w:rPr>
        <w:t>diferentes proyectos de aprendizaje:</w:t>
      </w:r>
    </w:p>
    <w:p w14:paraId="4DB960C0" w14:textId="3E22B4FF" w:rsidR="00AC5C61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Un proceso de selección de nivel operativo.</w:t>
      </w:r>
    </w:p>
    <w:p w14:paraId="5D7C8FFB" w14:textId="5FF07C13" w:rsidR="009C7330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U</w:t>
      </w:r>
      <w:r w:rsidR="009C7330">
        <w:rPr>
          <w:rFonts w:ascii="Open Sans" w:eastAsia="Open Sans" w:hAnsi="Open Sans" w:cs="Open Sans"/>
          <w:color w:val="222A35"/>
          <w:sz w:val="20"/>
          <w:szCs w:val="20"/>
        </w:rPr>
        <w:t>n proceso de selección de nivel de analista.</w:t>
      </w:r>
    </w:p>
    <w:p w14:paraId="072411E1" w14:textId="28C7BE96" w:rsidR="00AC5C61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El envío de tres comunicaciones internas con diferentes enfoques.</w:t>
      </w:r>
    </w:p>
    <w:p w14:paraId="11E75756" w14:textId="2FC4FD20" w:rsidR="00AC5C61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La coordinación de un entrenamiento.</w:t>
      </w:r>
    </w:p>
    <w:p w14:paraId="332F8F37" w14:textId="7B788DD3" w:rsidR="00AC5C61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lastRenderedPageBreak/>
        <w:t>La consolidación y envío de</w:t>
      </w:r>
      <w:r w:rsidR="008E70CE">
        <w:rPr>
          <w:rFonts w:ascii="Open Sans" w:eastAsia="Open Sans" w:hAnsi="Open Sans" w:cs="Open Sans"/>
          <w:color w:val="222A35"/>
          <w:sz w:val="20"/>
          <w:szCs w:val="20"/>
        </w:rPr>
        <w:t xml:space="preserve"> un</w:t>
      </w: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 programa de reconocimiento: “Nuestros valores”.</w:t>
      </w:r>
    </w:p>
    <w:p w14:paraId="50BCFAF7" w14:textId="31FF06BB" w:rsidR="00AC5C61" w:rsidRPr="009C7330" w:rsidRDefault="00AC5C61" w:rsidP="00AC5C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pen Sans" w:eastAsia="Open Sans" w:hAnsi="Open Sans" w:cs="Open Sans"/>
          <w:color w:val="222A35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>La firma de un legajo de nivel operativo o analista.</w:t>
      </w:r>
    </w:p>
    <w:p w14:paraId="48DD64AB" w14:textId="1A386322" w:rsidR="003713C2" w:rsidRDefault="003713C2" w:rsidP="008B7BF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Brindar soporte con la gestión de facturas de gastos </w:t>
      </w:r>
      <w:r w:rsidR="00512C2C">
        <w:rPr>
          <w:rFonts w:ascii="Open Sans" w:eastAsia="Open Sans" w:hAnsi="Open Sans" w:cs="Open Sans"/>
          <w:color w:val="222A35"/>
          <w:sz w:val="20"/>
          <w:szCs w:val="20"/>
        </w:rPr>
        <w:t>de acuerdo con</w:t>
      </w:r>
      <w:r>
        <w:rPr>
          <w:rFonts w:ascii="Open Sans" w:eastAsia="Open Sans" w:hAnsi="Open Sans" w:cs="Open Sans"/>
          <w:color w:val="222A35"/>
          <w:sz w:val="20"/>
          <w:szCs w:val="20"/>
        </w:rPr>
        <w:t xml:space="preserve"> la normativa de la empresa.</w:t>
      </w:r>
    </w:p>
    <w:p w14:paraId="5DB70F0E" w14:textId="20C1E0E5" w:rsidR="008B7BFF" w:rsidRPr="00935D8A" w:rsidRDefault="008B7BFF" w:rsidP="008B7BFF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>Dar soporte en diversos procesos de recursos humanos</w:t>
      </w:r>
      <w:r w:rsidR="00AC5C61">
        <w:rPr>
          <w:rFonts w:ascii="Open Sans" w:hAnsi="Open Sans" w:cs="Open Sans"/>
          <w:color w:val="222A35" w:themeColor="text2" w:themeShade="80"/>
          <w:sz w:val="20"/>
          <w:szCs w:val="20"/>
        </w:rPr>
        <w:t>.</w:t>
      </w:r>
    </w:p>
    <w:p w14:paraId="3C79100B" w14:textId="47834203" w:rsidR="00545E95" w:rsidRPr="00935D8A" w:rsidRDefault="006C18AF" w:rsidP="00545E95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>Estandarizar</w:t>
      </w:r>
      <w:r w:rsidR="00545E95"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 xml:space="preserve"> los procesos de RRHH a su cargo.</w:t>
      </w:r>
    </w:p>
    <w:p w14:paraId="5A2955E5" w14:textId="066E712E" w:rsidR="00DE7DE6" w:rsidRPr="00935D8A" w:rsidRDefault="00DE7DE6" w:rsidP="00DE7DE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935D8A">
        <w:rPr>
          <w:rFonts w:ascii="Open Sans" w:hAnsi="Open Sans" w:cs="Open Sans"/>
          <w:color w:val="222A35" w:themeColor="text2" w:themeShade="80"/>
          <w:sz w:val="20"/>
          <w:szCs w:val="20"/>
        </w:rPr>
        <w:t>Realizar otras tareas administrativas relacionadas con el área.</w:t>
      </w:r>
    </w:p>
    <w:p w14:paraId="7ED119AA" w14:textId="77777777" w:rsidR="00DE7DE6" w:rsidRPr="00935D8A" w:rsidRDefault="00DE7DE6" w:rsidP="00DE7DE6">
      <w:pPr>
        <w:pStyle w:val="Prrafodelista"/>
        <w:ind w:left="360"/>
        <w:rPr>
          <w:rFonts w:ascii="Open Sans" w:hAnsi="Open Sans" w:cs="Open Sans"/>
          <w:color w:val="222A35" w:themeColor="text2" w:themeShade="80"/>
          <w:sz w:val="20"/>
          <w:szCs w:val="20"/>
        </w:rPr>
      </w:pPr>
    </w:p>
    <w:p w14:paraId="45E02F41" w14:textId="5250B592" w:rsidR="00E31141" w:rsidRPr="00935D8A" w:rsidRDefault="00DE7DE6" w:rsidP="00D07934">
      <w:pPr>
        <w:pStyle w:val="Prrafodelista"/>
        <w:numPr>
          <w:ilvl w:val="0"/>
          <w:numId w:val="1"/>
        </w:numPr>
        <w:rPr>
          <w:rFonts w:ascii="Open Sans" w:hAnsi="Open Sans" w:cs="Open Sans"/>
          <w:color w:val="222A35" w:themeColor="text2" w:themeShade="80"/>
          <w:sz w:val="20"/>
          <w:szCs w:val="20"/>
        </w:rPr>
      </w:pP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 xml:space="preserve">Fecha última actualización: </w:t>
      </w:r>
      <w:r w:rsidR="00AC5C61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06</w:t>
      </w: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/0</w:t>
      </w:r>
      <w:r w:rsidR="00AC5C61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9</w:t>
      </w: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/20</w:t>
      </w:r>
      <w:r w:rsidR="00567921"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2</w:t>
      </w:r>
      <w:r w:rsidR="00AC5C61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3</w:t>
      </w:r>
      <w:r w:rsidRPr="00935D8A">
        <w:rPr>
          <w:rFonts w:ascii="Open Sans" w:hAnsi="Open Sans" w:cs="Open Sans"/>
          <w:b/>
          <w:color w:val="222A35" w:themeColor="text2" w:themeShade="80"/>
          <w:sz w:val="20"/>
          <w:szCs w:val="20"/>
        </w:rPr>
        <w:t>.</w:t>
      </w:r>
    </w:p>
    <w:sectPr w:rsidR="00E31141" w:rsidRPr="00935D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955C" w14:textId="77777777" w:rsidR="008B34C5" w:rsidRDefault="008B34C5" w:rsidP="00E31141">
      <w:pPr>
        <w:spacing w:after="0" w:line="240" w:lineRule="auto"/>
      </w:pPr>
      <w:r>
        <w:separator/>
      </w:r>
    </w:p>
  </w:endnote>
  <w:endnote w:type="continuationSeparator" w:id="0">
    <w:p w14:paraId="48B9FB60" w14:textId="77777777" w:rsidR="008B34C5" w:rsidRDefault="008B34C5" w:rsidP="00E3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626E1" w14:textId="77777777" w:rsidR="008B34C5" w:rsidRDefault="008B34C5" w:rsidP="00E31141">
      <w:pPr>
        <w:spacing w:after="0" w:line="240" w:lineRule="auto"/>
      </w:pPr>
      <w:r>
        <w:separator/>
      </w:r>
    </w:p>
  </w:footnote>
  <w:footnote w:type="continuationSeparator" w:id="0">
    <w:p w14:paraId="7098EF3D" w14:textId="77777777" w:rsidR="008B34C5" w:rsidRDefault="008B34C5" w:rsidP="00E3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A38D" w14:textId="77777777" w:rsidR="00E31141" w:rsidRDefault="00E31141">
    <w:pPr>
      <w:pStyle w:val="Encabezado"/>
    </w:pPr>
    <w:r w:rsidRPr="005C3331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B626FAE" wp14:editId="6A63546E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1793875" cy="421640"/>
          <wp:effectExtent l="0" t="0" r="0" b="0"/>
          <wp:wrapNone/>
          <wp:docPr id="2050" name="Imagen 2" descr="cid:45EFBFEE-75B8-4712-BF9E-AA92CC5DD9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n 2" descr="cid:45EFBFEE-75B8-4712-BF9E-AA92CC5DD9C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54729E4" w14:textId="77777777" w:rsidR="00E31141" w:rsidRDefault="00E311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2EF5"/>
    <w:multiLevelType w:val="hybridMultilevel"/>
    <w:tmpl w:val="1972925A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8064D"/>
    <w:multiLevelType w:val="hybridMultilevel"/>
    <w:tmpl w:val="BDCCCCD0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A916AF"/>
    <w:multiLevelType w:val="multilevel"/>
    <w:tmpl w:val="CDAE18F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7A1955"/>
    <w:multiLevelType w:val="hybridMultilevel"/>
    <w:tmpl w:val="0380BC20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1"/>
    <w:rsid w:val="0001516A"/>
    <w:rsid w:val="00021C6C"/>
    <w:rsid w:val="00066C9B"/>
    <w:rsid w:val="00075C98"/>
    <w:rsid w:val="00153818"/>
    <w:rsid w:val="00163224"/>
    <w:rsid w:val="001C0C71"/>
    <w:rsid w:val="001C36FF"/>
    <w:rsid w:val="001F20D1"/>
    <w:rsid w:val="00257731"/>
    <w:rsid w:val="002932E9"/>
    <w:rsid w:val="002D5E91"/>
    <w:rsid w:val="00304458"/>
    <w:rsid w:val="003147AE"/>
    <w:rsid w:val="003713C2"/>
    <w:rsid w:val="00385D0D"/>
    <w:rsid w:val="003F5703"/>
    <w:rsid w:val="003F601D"/>
    <w:rsid w:val="00411DCD"/>
    <w:rsid w:val="004276B5"/>
    <w:rsid w:val="0044253C"/>
    <w:rsid w:val="004C2709"/>
    <w:rsid w:val="004F0D46"/>
    <w:rsid w:val="00512C2C"/>
    <w:rsid w:val="00527BAB"/>
    <w:rsid w:val="00545E95"/>
    <w:rsid w:val="00567921"/>
    <w:rsid w:val="00570895"/>
    <w:rsid w:val="005C2425"/>
    <w:rsid w:val="005D477D"/>
    <w:rsid w:val="005E6999"/>
    <w:rsid w:val="006325F9"/>
    <w:rsid w:val="00666E40"/>
    <w:rsid w:val="00686702"/>
    <w:rsid w:val="0068766C"/>
    <w:rsid w:val="006959F7"/>
    <w:rsid w:val="006C18AF"/>
    <w:rsid w:val="00730A1F"/>
    <w:rsid w:val="00787607"/>
    <w:rsid w:val="007A620E"/>
    <w:rsid w:val="007C06CE"/>
    <w:rsid w:val="008013B8"/>
    <w:rsid w:val="008017F5"/>
    <w:rsid w:val="0082300F"/>
    <w:rsid w:val="0083106A"/>
    <w:rsid w:val="00884C70"/>
    <w:rsid w:val="008B34C5"/>
    <w:rsid w:val="008B6460"/>
    <w:rsid w:val="008B7BFF"/>
    <w:rsid w:val="008E70CE"/>
    <w:rsid w:val="0093536E"/>
    <w:rsid w:val="00935D8A"/>
    <w:rsid w:val="009552D2"/>
    <w:rsid w:val="00955884"/>
    <w:rsid w:val="0098183E"/>
    <w:rsid w:val="009844E3"/>
    <w:rsid w:val="009C7330"/>
    <w:rsid w:val="00A03B6B"/>
    <w:rsid w:val="00A66896"/>
    <w:rsid w:val="00AC5C61"/>
    <w:rsid w:val="00AF410A"/>
    <w:rsid w:val="00B73D1B"/>
    <w:rsid w:val="00B82BD4"/>
    <w:rsid w:val="00BD7BDA"/>
    <w:rsid w:val="00BE1440"/>
    <w:rsid w:val="00BF11EE"/>
    <w:rsid w:val="00C73608"/>
    <w:rsid w:val="00C77951"/>
    <w:rsid w:val="00C818FC"/>
    <w:rsid w:val="00CD3D71"/>
    <w:rsid w:val="00D07934"/>
    <w:rsid w:val="00D51276"/>
    <w:rsid w:val="00D655A9"/>
    <w:rsid w:val="00DB6CDB"/>
    <w:rsid w:val="00DD268C"/>
    <w:rsid w:val="00DE7DE6"/>
    <w:rsid w:val="00DF549B"/>
    <w:rsid w:val="00E30209"/>
    <w:rsid w:val="00E31141"/>
    <w:rsid w:val="00E321CD"/>
    <w:rsid w:val="00E80FE2"/>
    <w:rsid w:val="00E8179C"/>
    <w:rsid w:val="00E86A3B"/>
    <w:rsid w:val="00EA5AC6"/>
    <w:rsid w:val="00EC32F7"/>
    <w:rsid w:val="00F46558"/>
    <w:rsid w:val="00F60543"/>
    <w:rsid w:val="00F77B80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F257"/>
  <w15:chartTrackingRefBased/>
  <w15:docId w15:val="{A142CB51-7817-44DE-95C1-AA33C2FD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141"/>
  </w:style>
  <w:style w:type="paragraph" w:styleId="Piedepgina">
    <w:name w:val="footer"/>
    <w:basedOn w:val="Normal"/>
    <w:link w:val="PiedepginaCar"/>
    <w:uiPriority w:val="99"/>
    <w:unhideWhenUsed/>
    <w:rsid w:val="00E3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141"/>
  </w:style>
  <w:style w:type="paragraph" w:styleId="Prrafodelista">
    <w:name w:val="List Paragraph"/>
    <w:basedOn w:val="Normal"/>
    <w:uiPriority w:val="34"/>
    <w:qFormat/>
    <w:rsid w:val="00E3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MarinaP</cp:lastModifiedBy>
  <cp:revision>2</cp:revision>
  <dcterms:created xsi:type="dcterms:W3CDTF">2023-09-07T16:47:00Z</dcterms:created>
  <dcterms:modified xsi:type="dcterms:W3CDTF">2023-09-07T16:47:00Z</dcterms:modified>
</cp:coreProperties>
</file>